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A1CEB" w:rsidTr="008A1CEB">
        <w:trPr>
          <w:tblCellSpacing w:w="0" w:type="dxa"/>
          <w:jc w:val="center"/>
        </w:trPr>
        <w:tc>
          <w:tcPr>
            <w:tcW w:w="0" w:type="auto"/>
            <w:tcMar>
              <w:top w:w="75" w:type="dxa"/>
              <w:left w:w="0" w:type="dxa"/>
              <w:bottom w:w="75" w:type="dxa"/>
              <w:right w:w="0" w:type="dxa"/>
            </w:tcMar>
            <w:hideMark/>
          </w:tcPr>
          <w:p w:rsidR="008A1CEB" w:rsidRDefault="008A1CEB">
            <w:pPr>
              <w:jc w:val="center"/>
              <w:rPr>
                <w:rFonts w:ascii="Arial" w:hAnsi="Arial" w:cs="Arial"/>
                <w:color w:val="555555"/>
              </w:rPr>
            </w:pPr>
            <w:r>
              <w:rPr>
                <w:rFonts w:ascii="Arial" w:hAnsi="Arial" w:cs="Arial"/>
                <w:noProof/>
                <w:color w:val="0000FF"/>
              </w:rPr>
              <w:drawing>
                <wp:inline distT="0" distB="0" distL="0" distR="0">
                  <wp:extent cx="989330" cy="989330"/>
                  <wp:effectExtent l="0" t="0" r="1270" b="1270"/>
                  <wp:docPr id="1" name="Picture 1" descr="TC Foundation Logo - web">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Foundation Logo - 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30" cy="989330"/>
                          </a:xfrm>
                          <a:prstGeom prst="rect">
                            <a:avLst/>
                          </a:prstGeom>
                          <a:noFill/>
                          <a:ln>
                            <a:noFill/>
                          </a:ln>
                        </pic:spPr>
                      </pic:pic>
                    </a:graphicData>
                  </a:graphic>
                </wp:inline>
              </w:drawing>
            </w:r>
          </w:p>
        </w:tc>
      </w:tr>
    </w:tbl>
    <w:p w:rsidR="008A1CEB" w:rsidRDefault="008A1CEB" w:rsidP="008A1CE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0320"/>
      </w:tblGrid>
      <w:tr w:rsidR="008A1CEB" w:rsidTr="008A1CEB">
        <w:trPr>
          <w:tblCellSpacing w:w="0" w:type="dxa"/>
          <w:jc w:val="center"/>
        </w:trPr>
        <w:tc>
          <w:tcPr>
            <w:tcW w:w="0" w:type="auto"/>
            <w:tcMar>
              <w:top w:w="120" w:type="dxa"/>
              <w:left w:w="480" w:type="dxa"/>
              <w:bottom w:w="135" w:type="dxa"/>
              <w:right w:w="480" w:type="dxa"/>
            </w:tcMar>
            <w:hideMark/>
          </w:tcPr>
          <w:p w:rsidR="008A1CEB" w:rsidRDefault="008A1CEB">
            <w:pPr>
              <w:jc w:val="center"/>
              <w:rPr>
                <w:rStyle w:val="Strong"/>
                <w:rFonts w:ascii="Georgia" w:hAnsi="Georgia" w:cs="Arial"/>
                <w:color w:val="000000"/>
                <w:sz w:val="28"/>
                <w:szCs w:val="28"/>
              </w:rPr>
            </w:pPr>
          </w:p>
          <w:p w:rsidR="00D4637E" w:rsidRDefault="008A1CEB" w:rsidP="00D4637E">
            <w:pPr>
              <w:jc w:val="center"/>
              <w:rPr>
                <w:rFonts w:ascii="Georgia" w:hAnsi="Georgia" w:cs="Arial"/>
                <w:color w:val="000000"/>
                <w:sz w:val="22"/>
                <w:szCs w:val="22"/>
              </w:rPr>
            </w:pPr>
            <w:r>
              <w:rPr>
                <w:rFonts w:ascii="Georgia" w:hAnsi="Georgia" w:cs="Arial"/>
                <w:color w:val="000000"/>
                <w:sz w:val="22"/>
                <w:szCs w:val="22"/>
              </w:rPr>
              <w:t xml:space="preserve">Join Ten Chimneys Foundation as we welcome </w:t>
            </w:r>
          </w:p>
          <w:p w:rsidR="00D4637E" w:rsidRDefault="008A1CEB" w:rsidP="00D4637E">
            <w:pPr>
              <w:jc w:val="center"/>
              <w:rPr>
                <w:rFonts w:ascii="Georgia" w:hAnsi="Georgia" w:cs="Arial"/>
                <w:color w:val="000000"/>
                <w:sz w:val="22"/>
                <w:szCs w:val="22"/>
              </w:rPr>
            </w:pPr>
            <w:r>
              <w:rPr>
                <w:rFonts w:ascii="Georgia" w:hAnsi="Georgia" w:cs="Arial"/>
                <w:color w:val="000000"/>
                <w:sz w:val="22"/>
                <w:szCs w:val="22"/>
              </w:rPr>
              <w:t>the</w:t>
            </w:r>
            <w:r w:rsidR="000C78FD">
              <w:rPr>
                <w:rFonts w:ascii="Georgia" w:hAnsi="Georgia" w:cs="Arial"/>
                <w:color w:val="000000"/>
                <w:sz w:val="22"/>
                <w:szCs w:val="22"/>
              </w:rPr>
              <w:t xml:space="preserve"> Milwaukee Repertory Theater's Emerging Professional Residents</w:t>
            </w:r>
            <w:r>
              <w:rPr>
                <w:rFonts w:ascii="Georgia" w:hAnsi="Georgia" w:cs="Arial"/>
                <w:color w:val="000000"/>
                <w:sz w:val="22"/>
                <w:szCs w:val="22"/>
              </w:rPr>
              <w:t xml:space="preserve"> </w:t>
            </w:r>
          </w:p>
          <w:p w:rsidR="00D4637E" w:rsidRDefault="008A1CEB" w:rsidP="00D4637E">
            <w:pPr>
              <w:jc w:val="center"/>
              <w:rPr>
                <w:rFonts w:ascii="Georgia" w:hAnsi="Georgia" w:cs="Arial"/>
                <w:color w:val="000000"/>
                <w:sz w:val="22"/>
                <w:szCs w:val="22"/>
              </w:rPr>
            </w:pPr>
            <w:r>
              <w:rPr>
                <w:rFonts w:ascii="Georgia" w:hAnsi="Georgia" w:cs="Arial"/>
                <w:color w:val="000000"/>
                <w:sz w:val="22"/>
                <w:szCs w:val="22"/>
              </w:rPr>
              <w:t>for a book-in-hand reading of </w:t>
            </w:r>
          </w:p>
          <w:p w:rsidR="008A1CEB" w:rsidRDefault="000C78FD" w:rsidP="00D4637E">
            <w:pPr>
              <w:jc w:val="center"/>
              <w:rPr>
                <w:rFonts w:ascii="Georgia" w:hAnsi="Georgia" w:cs="Arial"/>
                <w:color w:val="000000"/>
                <w:sz w:val="22"/>
                <w:szCs w:val="22"/>
              </w:rPr>
            </w:pPr>
            <w:r>
              <w:rPr>
                <w:rStyle w:val="Emphasis"/>
                <w:rFonts w:ascii="Georgia" w:hAnsi="Georgia" w:cs="Arial"/>
                <w:color w:val="000000"/>
                <w:sz w:val="22"/>
                <w:szCs w:val="22"/>
              </w:rPr>
              <w:t>Design for Living</w:t>
            </w:r>
            <w:r>
              <w:rPr>
                <w:rFonts w:ascii="Georgia" w:hAnsi="Georgia" w:cs="Arial"/>
                <w:color w:val="000000"/>
                <w:sz w:val="22"/>
                <w:szCs w:val="22"/>
              </w:rPr>
              <w:t>, written by No</w:t>
            </w:r>
            <w:r w:rsidR="00096025">
              <w:rPr>
                <w:rFonts w:ascii="Georgia" w:hAnsi="Georgia" w:cs="Arial"/>
                <w:color w:val="000000"/>
                <w:sz w:val="22"/>
                <w:szCs w:val="22"/>
              </w:rPr>
              <w:t>ë</w:t>
            </w:r>
            <w:r>
              <w:rPr>
                <w:rFonts w:ascii="Georgia" w:hAnsi="Georgia" w:cs="Arial"/>
                <w:color w:val="000000"/>
                <w:sz w:val="22"/>
                <w:szCs w:val="22"/>
              </w:rPr>
              <w:t>l Coward.</w:t>
            </w:r>
          </w:p>
          <w:p w:rsidR="008A1CEB" w:rsidRDefault="008A1CEB" w:rsidP="008A1CEB">
            <w:pPr>
              <w:rPr>
                <w:rFonts w:ascii="Georgia" w:hAnsi="Georgia" w:cs="Arial"/>
                <w:color w:val="000000"/>
                <w:sz w:val="22"/>
                <w:szCs w:val="22"/>
              </w:rPr>
            </w:pPr>
            <w:r>
              <w:rPr>
                <w:rFonts w:ascii="Georgia" w:hAnsi="Georgia" w:cs="Arial"/>
                <w:color w:val="000000"/>
                <w:sz w:val="22"/>
                <w:szCs w:val="22"/>
              </w:rPr>
              <w:t> </w:t>
            </w:r>
          </w:p>
          <w:p w:rsidR="008A1CEB" w:rsidRDefault="008A1CEB" w:rsidP="008A1CEB">
            <w:pPr>
              <w:rPr>
                <w:rFonts w:ascii="Georgia" w:hAnsi="Georgia" w:cs="Arial"/>
                <w:color w:val="000000"/>
              </w:rPr>
            </w:pPr>
          </w:p>
          <w:p w:rsidR="008A1CEB" w:rsidRDefault="008A1CEB" w:rsidP="008A1CEB">
            <w:pPr>
              <w:rPr>
                <w:rStyle w:val="Emphasis"/>
                <w:rFonts w:ascii="Georgia" w:hAnsi="Georgia" w:cs="Arial"/>
                <w:b/>
                <w:bCs/>
                <w:color w:val="000000"/>
                <w:sz w:val="22"/>
                <w:szCs w:val="22"/>
              </w:rPr>
            </w:pPr>
            <w:r>
              <w:rPr>
                <w:rStyle w:val="Strong"/>
                <w:rFonts w:ascii="Georgia" w:hAnsi="Georgia" w:cs="Arial"/>
                <w:color w:val="000000"/>
                <w:sz w:val="22"/>
                <w:szCs w:val="22"/>
              </w:rPr>
              <w:t>About </w:t>
            </w:r>
            <w:r w:rsidR="00096025">
              <w:rPr>
                <w:rStyle w:val="Emphasis"/>
                <w:rFonts w:ascii="Georgia" w:hAnsi="Georgia" w:cs="Arial"/>
                <w:b/>
                <w:bCs/>
                <w:color w:val="000000"/>
                <w:sz w:val="22"/>
                <w:szCs w:val="22"/>
              </w:rPr>
              <w:t>Design for Living</w:t>
            </w:r>
          </w:p>
          <w:p w:rsidR="00B952D0" w:rsidRDefault="00B952D0" w:rsidP="008A1CEB">
            <w:pPr>
              <w:rPr>
                <w:rStyle w:val="Emphasis"/>
                <w:bCs/>
                <w:i w:val="0"/>
              </w:rPr>
            </w:pPr>
            <w:r w:rsidRPr="00B952D0">
              <w:rPr>
                <w:rStyle w:val="Emphasis"/>
                <w:bCs/>
                <w:i w:val="0"/>
              </w:rPr>
              <w:t>CONTRACT WITH THEATRE GUILD UP IN JUNE</w:t>
            </w:r>
            <w:r>
              <w:rPr>
                <w:rStyle w:val="Emphasis"/>
                <w:bCs/>
                <w:i w:val="0"/>
              </w:rPr>
              <w:t xml:space="preserve"> &lt;STOP&gt;WE SHALL BE FREE&lt;STOP&gt;WHAT ABOUT IT?</w:t>
            </w:r>
          </w:p>
          <w:p w:rsidR="00B952D0" w:rsidRDefault="00B952D0" w:rsidP="008A1CEB">
            <w:pPr>
              <w:rPr>
                <w:rStyle w:val="Emphasis"/>
                <w:bCs/>
                <w:i w:val="0"/>
              </w:rPr>
            </w:pPr>
          </w:p>
          <w:p w:rsidR="00B952D0" w:rsidRDefault="00B952D0" w:rsidP="008A1CEB">
            <w:pPr>
              <w:rPr>
                <w:rStyle w:val="Emphasis"/>
                <w:bCs/>
                <w:i w:val="0"/>
              </w:rPr>
            </w:pPr>
            <w:r>
              <w:rPr>
                <w:rStyle w:val="Emphasis"/>
                <w:bCs/>
                <w:i w:val="0"/>
              </w:rPr>
              <w:t xml:space="preserve">So read the telegram sent to Noël Coward by Lynn and Alfred in 1932.  For years, he had encouraged the Lunts to break with the Theatre Guild.  The message reached Noël while he was the lone passenger on a small freighter sailing from Panama to Los Angeles.  Having long promised to write a play in which the three of them could perform, he immediately set pen to paper and completed </w:t>
            </w:r>
            <w:r>
              <w:rPr>
                <w:rStyle w:val="Emphasis"/>
                <w:bCs/>
              </w:rPr>
              <w:t>Design for Living</w:t>
            </w:r>
            <w:r>
              <w:rPr>
                <w:rStyle w:val="Emphasis"/>
                <w:bCs/>
                <w:i w:val="0"/>
              </w:rPr>
              <w:t xml:space="preserve"> only ten days later.</w:t>
            </w:r>
          </w:p>
          <w:p w:rsidR="00B952D0" w:rsidRPr="00B952D0" w:rsidRDefault="00B952D0" w:rsidP="008A1CEB">
            <w:pPr>
              <w:rPr>
                <w:rFonts w:ascii="Georgia" w:hAnsi="Georgia" w:cs="Arial"/>
                <w:color w:val="000000"/>
                <w:sz w:val="22"/>
                <w:szCs w:val="22"/>
              </w:rPr>
            </w:pPr>
          </w:p>
          <w:p w:rsidR="00DF4658" w:rsidRPr="00BA1029" w:rsidRDefault="00DF4658" w:rsidP="00DF4658">
            <w:pPr>
              <w:rPr>
                <w:rFonts w:ascii="Georgia" w:hAnsi="Georgia" w:cs="Arial"/>
                <w:color w:val="222222"/>
                <w:sz w:val="22"/>
                <w:szCs w:val="22"/>
                <w:shd w:val="clear" w:color="auto" w:fill="FFFFFF"/>
              </w:rPr>
            </w:pPr>
            <w:r w:rsidRPr="00DF4658">
              <w:rPr>
                <w:rFonts w:ascii="Georgia" w:hAnsi="Georgia" w:cs="Arial"/>
                <w:bCs/>
                <w:i/>
                <w:iCs/>
                <w:color w:val="222222"/>
                <w:sz w:val="22"/>
                <w:szCs w:val="22"/>
                <w:shd w:val="clear" w:color="auto" w:fill="FFFFFF"/>
              </w:rPr>
              <w:t>Design for Living</w:t>
            </w:r>
            <w:r w:rsidRPr="00DF4658">
              <w:rPr>
                <w:rFonts w:ascii="Georgia" w:hAnsi="Georgia" w:cs="Arial"/>
                <w:color w:val="222222"/>
                <w:sz w:val="22"/>
                <w:szCs w:val="22"/>
                <w:shd w:val="clear" w:color="auto" w:fill="FFFFFF"/>
              </w:rPr>
              <w:t xml:space="preserve"> is a comedy </w:t>
            </w:r>
            <w:r w:rsidR="00BA1029">
              <w:rPr>
                <w:rFonts w:ascii="Georgia" w:hAnsi="Georgia" w:cs="Arial"/>
                <w:color w:val="222222"/>
                <w:sz w:val="22"/>
                <w:szCs w:val="22"/>
                <w:shd w:val="clear" w:color="auto" w:fill="FFFFFF"/>
              </w:rPr>
              <w:t xml:space="preserve">and </w:t>
            </w:r>
            <w:r w:rsidR="00F91847">
              <w:rPr>
                <w:rFonts w:ascii="Georgia" w:hAnsi="Georgia" w:cs="Arial"/>
                <w:color w:val="222222"/>
                <w:sz w:val="22"/>
                <w:szCs w:val="22"/>
                <w:shd w:val="clear" w:color="auto" w:fill="FFFFFF"/>
              </w:rPr>
              <w:t>involves</w:t>
            </w:r>
            <w:r w:rsidRPr="00DF4658">
              <w:rPr>
                <w:rFonts w:ascii="Georgia" w:hAnsi="Georgia" w:cs="Arial"/>
                <w:color w:val="222222"/>
                <w:sz w:val="22"/>
                <w:szCs w:val="22"/>
                <w:shd w:val="clear" w:color="auto" w:fill="FFFFFF"/>
              </w:rPr>
              <w:t xml:space="preserve"> a trio of artistic characters, Gilda, Otto and Leo, and their complicated three-way relationship. </w:t>
            </w:r>
            <w:r w:rsidR="00B952D0">
              <w:rPr>
                <w:rFonts w:ascii="Georgia" w:hAnsi="Georgia" w:cs="Arial"/>
                <w:color w:val="222222"/>
                <w:sz w:val="22"/>
                <w:szCs w:val="22"/>
                <w:shd w:val="clear" w:color="auto" w:fill="FFFFFF"/>
              </w:rPr>
              <w:t xml:space="preserve">  Audiences and critics alike erupted with enthusiasm.  “Theatrical history in the making.”  </w:t>
            </w:r>
            <w:r w:rsidR="00BA1029">
              <w:rPr>
                <w:rFonts w:ascii="Georgia" w:hAnsi="Georgia" w:cs="Arial"/>
                <w:color w:val="222222"/>
                <w:sz w:val="22"/>
                <w:szCs w:val="22"/>
                <w:shd w:val="clear" w:color="auto" w:fill="FFFFFF"/>
              </w:rPr>
              <w:t>The New York critics found the script “decadent” and t</w:t>
            </w:r>
            <w:r w:rsidR="00B952D0">
              <w:rPr>
                <w:rFonts w:ascii="Georgia" w:hAnsi="Georgia" w:cs="Arial"/>
                <w:color w:val="222222"/>
                <w:sz w:val="22"/>
                <w:szCs w:val="22"/>
                <w:shd w:val="clear" w:color="auto" w:fill="FFFFFF"/>
              </w:rPr>
              <w:t>he play was sold out months in advance.</w:t>
            </w:r>
            <w:r w:rsidR="00BA1029">
              <w:rPr>
                <w:rFonts w:ascii="Georgia" w:hAnsi="Georgia" w:cs="Arial"/>
                <w:color w:val="222222"/>
                <w:sz w:val="22"/>
                <w:szCs w:val="22"/>
                <w:shd w:val="clear" w:color="auto" w:fill="FFFFFF"/>
              </w:rPr>
              <w:t xml:space="preserve">  </w:t>
            </w:r>
            <w:r w:rsidR="00BA1029">
              <w:rPr>
                <w:rFonts w:ascii="Georgia" w:hAnsi="Georgia" w:cs="Arial"/>
                <w:i/>
                <w:color w:val="222222"/>
                <w:sz w:val="22"/>
                <w:szCs w:val="22"/>
                <w:shd w:val="clear" w:color="auto" w:fill="FFFFFF"/>
              </w:rPr>
              <w:t xml:space="preserve">Design for Living </w:t>
            </w:r>
            <w:r w:rsidR="00BA1029">
              <w:rPr>
                <w:rFonts w:ascii="Georgia" w:hAnsi="Georgia" w:cs="Arial"/>
                <w:color w:val="222222"/>
                <w:sz w:val="22"/>
                <w:szCs w:val="22"/>
                <w:shd w:val="clear" w:color="auto" w:fill="FFFFFF"/>
              </w:rPr>
              <w:t>catapulted the Lunts, already stars, to the summit of American theatre and quieted those who expected failure when they left the organizational might of the Theatre Guild.  The production also expanded Coward’s reputation from that of a skilled playwright to that of immensely talented actor-writer.  The three remained life-long friends.</w:t>
            </w:r>
          </w:p>
          <w:p w:rsidR="003025A2" w:rsidRDefault="003025A2" w:rsidP="00DF4658">
            <w:pPr>
              <w:rPr>
                <w:rFonts w:ascii="Georgia" w:hAnsi="Georgia" w:cs="Arial"/>
                <w:color w:val="222222"/>
                <w:sz w:val="22"/>
                <w:szCs w:val="22"/>
                <w:shd w:val="clear" w:color="auto" w:fill="FFFFFF"/>
              </w:rPr>
            </w:pPr>
          </w:p>
          <w:p w:rsidR="003025A2" w:rsidRDefault="003025A2" w:rsidP="00D4637E">
            <w:pPr>
              <w:jc w:val="center"/>
              <w:rPr>
                <w:rFonts w:ascii="Georgia" w:hAnsi="Georgia" w:cs="Arial"/>
                <w:color w:val="000000"/>
                <w:sz w:val="22"/>
                <w:szCs w:val="22"/>
              </w:rPr>
            </w:pPr>
            <w:r>
              <w:rPr>
                <w:rStyle w:val="Strong"/>
                <w:rFonts w:ascii="Georgia" w:hAnsi="Georgia" w:cs="Arial"/>
                <w:color w:val="000000"/>
                <w:sz w:val="22"/>
                <w:szCs w:val="22"/>
              </w:rPr>
              <w:t>Monday, December 11th at 7pm</w:t>
            </w:r>
            <w:bookmarkStart w:id="0" w:name="_GoBack"/>
            <w:bookmarkEnd w:id="0"/>
          </w:p>
          <w:p w:rsidR="003025A2" w:rsidRDefault="003025A2" w:rsidP="00D4637E">
            <w:pPr>
              <w:jc w:val="center"/>
              <w:rPr>
                <w:rFonts w:ascii="Georgia" w:hAnsi="Georgia" w:cs="Arial"/>
                <w:color w:val="000000"/>
                <w:sz w:val="22"/>
                <w:szCs w:val="22"/>
              </w:rPr>
            </w:pPr>
            <w:r>
              <w:rPr>
                <w:rFonts w:ascii="Georgia" w:hAnsi="Georgia" w:cs="Arial"/>
                <w:color w:val="000000"/>
                <w:sz w:val="22"/>
                <w:szCs w:val="22"/>
              </w:rPr>
              <w:t>$20</w:t>
            </w:r>
          </w:p>
          <w:p w:rsidR="003025A2" w:rsidRDefault="003025A2" w:rsidP="00D4637E">
            <w:pPr>
              <w:jc w:val="center"/>
              <w:rPr>
                <w:rFonts w:ascii="Georgia" w:hAnsi="Georgia" w:cs="Arial"/>
                <w:color w:val="000000"/>
                <w:sz w:val="22"/>
                <w:szCs w:val="22"/>
              </w:rPr>
            </w:pPr>
            <w:r>
              <w:rPr>
                <w:rFonts w:ascii="Georgia" w:hAnsi="Georgia" w:cs="Arial"/>
                <w:color w:val="000000"/>
                <w:sz w:val="22"/>
                <w:szCs w:val="22"/>
              </w:rPr>
              <w:t>Reservations: (262) 968-4110</w:t>
            </w:r>
          </w:p>
          <w:p w:rsidR="008A1CEB" w:rsidRDefault="008A1CEB" w:rsidP="008A1CEB">
            <w:pPr>
              <w:rPr>
                <w:rFonts w:ascii="Georgia" w:hAnsi="Georgia" w:cs="Arial"/>
                <w:color w:val="000000"/>
                <w:sz w:val="22"/>
                <w:szCs w:val="22"/>
              </w:rPr>
            </w:pPr>
          </w:p>
          <w:p w:rsidR="008A1CEB" w:rsidRDefault="008A1CEB" w:rsidP="008A1CEB">
            <w:pPr>
              <w:rPr>
                <w:rFonts w:ascii="Georgia" w:hAnsi="Georgia" w:cs="Arial"/>
                <w:color w:val="000000"/>
                <w:sz w:val="22"/>
                <w:szCs w:val="22"/>
              </w:rPr>
            </w:pPr>
            <w:r>
              <w:rPr>
                <w:rStyle w:val="Strong"/>
                <w:rFonts w:ascii="Georgia" w:hAnsi="Georgia" w:cs="Arial"/>
                <w:color w:val="000000"/>
                <w:sz w:val="22"/>
                <w:szCs w:val="22"/>
              </w:rPr>
              <w:t>About </w:t>
            </w:r>
            <w:r>
              <w:rPr>
                <w:rStyle w:val="Emphasis"/>
                <w:rFonts w:ascii="Georgia" w:hAnsi="Georgia" w:cs="Arial"/>
                <w:b/>
                <w:bCs/>
                <w:color w:val="000000"/>
                <w:sz w:val="22"/>
                <w:szCs w:val="22"/>
              </w:rPr>
              <w:t>Play Readings at Ten Chimneys</w:t>
            </w:r>
          </w:p>
          <w:p w:rsidR="008A1CEB" w:rsidRDefault="008A1CEB" w:rsidP="008A1CEB">
            <w:pPr>
              <w:rPr>
                <w:rFonts w:ascii="Georgia" w:hAnsi="Georgia" w:cs="Arial"/>
                <w:color w:val="000000"/>
                <w:sz w:val="22"/>
                <w:szCs w:val="22"/>
              </w:rPr>
            </w:pPr>
            <w:r>
              <w:rPr>
                <w:rFonts w:ascii="Georgia" w:hAnsi="Georgia" w:cs="Arial"/>
                <w:color w:val="000000"/>
                <w:sz w:val="22"/>
                <w:szCs w:val="22"/>
              </w:rPr>
              <w:t>Mentoring the next generation of artists was a role the Lunts valued, and continues to be a cornerstone of the programs Ten Chimneys Foundation nurtures, including our longstanding collaboration with the Milwaukee Repertory Theater's Artistic Internship Program as we present </w:t>
            </w:r>
            <w:r>
              <w:rPr>
                <w:rStyle w:val="Emphasis"/>
                <w:rFonts w:ascii="Georgia" w:hAnsi="Georgia" w:cs="Arial"/>
                <w:color w:val="000000"/>
                <w:sz w:val="22"/>
                <w:szCs w:val="22"/>
              </w:rPr>
              <w:t>Play Readings at Ten Chimneys</w:t>
            </w:r>
            <w:r>
              <w:rPr>
                <w:rFonts w:ascii="Georgia" w:hAnsi="Georgia" w:cs="Arial"/>
                <w:color w:val="000000"/>
                <w:sz w:val="22"/>
                <w:szCs w:val="22"/>
              </w:rPr>
              <w:t>. We invite guests to join us in our beautiful Lunt-Fontanne Program Center as these contemporary protégés offer book-in-hand readings of the celebrated plays from the Lunts' era.</w:t>
            </w:r>
          </w:p>
          <w:p w:rsidR="008A1CEB" w:rsidRDefault="008A1CEB" w:rsidP="008A1CEB">
            <w:pPr>
              <w:rPr>
                <w:rFonts w:ascii="Georgia" w:hAnsi="Georgia" w:cs="Arial"/>
                <w:color w:val="000000"/>
                <w:sz w:val="22"/>
                <w:szCs w:val="22"/>
              </w:rPr>
            </w:pPr>
          </w:p>
          <w:p w:rsidR="00096025" w:rsidRDefault="008A1CEB" w:rsidP="00096025">
            <w:pPr>
              <w:jc w:val="center"/>
              <w:rPr>
                <w:rFonts w:ascii="Georgia" w:hAnsi="Georgia" w:cs="Arial"/>
                <w:color w:val="000000"/>
                <w:sz w:val="22"/>
                <w:szCs w:val="22"/>
              </w:rPr>
            </w:pPr>
            <w:r>
              <w:rPr>
                <w:rFonts w:ascii="Georgia" w:hAnsi="Georgia" w:cs="Arial"/>
                <w:color w:val="000000"/>
                <w:sz w:val="22"/>
                <w:szCs w:val="22"/>
              </w:rPr>
              <w:t xml:space="preserve">For more information &amp; to learn more about </w:t>
            </w:r>
            <w:r w:rsidR="00096025">
              <w:rPr>
                <w:rFonts w:ascii="Georgia" w:hAnsi="Georgia" w:cs="Arial"/>
                <w:color w:val="000000"/>
                <w:sz w:val="22"/>
                <w:szCs w:val="22"/>
              </w:rPr>
              <w:t>Ten Chimneys</w:t>
            </w:r>
            <w:r>
              <w:rPr>
                <w:rFonts w:ascii="Georgia" w:hAnsi="Georgia" w:cs="Arial"/>
                <w:color w:val="000000"/>
                <w:sz w:val="22"/>
                <w:szCs w:val="22"/>
              </w:rPr>
              <w:t xml:space="preserve">, </w:t>
            </w:r>
          </w:p>
          <w:p w:rsidR="008A1CEB" w:rsidRDefault="008A1CEB" w:rsidP="00096025">
            <w:pPr>
              <w:jc w:val="center"/>
              <w:rPr>
                <w:rFonts w:ascii="Arial" w:hAnsi="Arial" w:cs="Arial"/>
                <w:color w:val="555555"/>
              </w:rPr>
            </w:pPr>
            <w:r>
              <w:rPr>
                <w:rFonts w:ascii="Georgia" w:hAnsi="Georgia" w:cs="Arial"/>
                <w:color w:val="000000"/>
                <w:sz w:val="22"/>
                <w:szCs w:val="22"/>
              </w:rPr>
              <w:t>please visit our</w:t>
            </w:r>
            <w:r w:rsidR="00096025">
              <w:rPr>
                <w:rFonts w:ascii="Georgia" w:hAnsi="Georgia" w:cs="Arial"/>
                <w:color w:val="000000"/>
                <w:sz w:val="22"/>
                <w:szCs w:val="22"/>
              </w:rPr>
              <w:t xml:space="preserve"> </w:t>
            </w:r>
            <w:hyperlink r:id="rId8" w:history="1">
              <w:r w:rsidR="00096025" w:rsidRPr="001B06CF">
                <w:rPr>
                  <w:rStyle w:val="Hyperlink"/>
                  <w:rFonts w:ascii="Georgia" w:hAnsi="Georgia" w:cs="Arial"/>
                  <w:sz w:val="22"/>
                  <w:szCs w:val="22"/>
                </w:rPr>
                <w:t>www.tenchimneys.org</w:t>
              </w:r>
            </w:hyperlink>
            <w:r w:rsidR="00096025">
              <w:rPr>
                <w:rFonts w:ascii="Georgia" w:hAnsi="Georgia" w:cs="Arial"/>
                <w:color w:val="000000"/>
                <w:sz w:val="22"/>
                <w:szCs w:val="22"/>
              </w:rPr>
              <w:t xml:space="preserve"> </w:t>
            </w:r>
          </w:p>
        </w:tc>
      </w:tr>
    </w:tbl>
    <w:p w:rsidR="005B6751" w:rsidRDefault="005B6751" w:rsidP="00DF4658"/>
    <w:sectPr w:rsidR="005B6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EB"/>
    <w:rsid w:val="00096025"/>
    <w:rsid w:val="000C78FD"/>
    <w:rsid w:val="00204AE9"/>
    <w:rsid w:val="003025A2"/>
    <w:rsid w:val="005B6751"/>
    <w:rsid w:val="008A1CEB"/>
    <w:rsid w:val="00B952D0"/>
    <w:rsid w:val="00BA1029"/>
    <w:rsid w:val="00D4637E"/>
    <w:rsid w:val="00DF4658"/>
    <w:rsid w:val="00F9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CEB"/>
    <w:rPr>
      <w:b/>
      <w:bCs/>
    </w:rPr>
  </w:style>
  <w:style w:type="paragraph" w:styleId="BalloonText">
    <w:name w:val="Balloon Text"/>
    <w:basedOn w:val="Normal"/>
    <w:link w:val="BalloonTextChar"/>
    <w:uiPriority w:val="99"/>
    <w:semiHidden/>
    <w:unhideWhenUsed/>
    <w:rsid w:val="008A1CEB"/>
    <w:rPr>
      <w:rFonts w:ascii="Tahoma" w:hAnsi="Tahoma" w:cs="Tahoma"/>
      <w:sz w:val="16"/>
      <w:szCs w:val="16"/>
    </w:rPr>
  </w:style>
  <w:style w:type="character" w:customStyle="1" w:styleId="BalloonTextChar">
    <w:name w:val="Balloon Text Char"/>
    <w:basedOn w:val="DefaultParagraphFont"/>
    <w:link w:val="BalloonText"/>
    <w:uiPriority w:val="99"/>
    <w:semiHidden/>
    <w:rsid w:val="008A1CEB"/>
    <w:rPr>
      <w:rFonts w:ascii="Tahoma" w:eastAsia="Times New Roman" w:hAnsi="Tahoma" w:cs="Tahoma"/>
      <w:sz w:val="16"/>
      <w:szCs w:val="16"/>
    </w:rPr>
  </w:style>
  <w:style w:type="character" w:styleId="Hyperlink">
    <w:name w:val="Hyperlink"/>
    <w:basedOn w:val="DefaultParagraphFont"/>
    <w:uiPriority w:val="99"/>
    <w:unhideWhenUsed/>
    <w:rsid w:val="008A1CEB"/>
    <w:rPr>
      <w:color w:val="0000FF"/>
      <w:u w:val="single"/>
    </w:rPr>
  </w:style>
  <w:style w:type="character" w:styleId="Emphasis">
    <w:name w:val="Emphasis"/>
    <w:basedOn w:val="DefaultParagraphFont"/>
    <w:uiPriority w:val="20"/>
    <w:qFormat/>
    <w:rsid w:val="008A1CEB"/>
    <w:rPr>
      <w:i/>
      <w:iCs/>
    </w:rPr>
  </w:style>
  <w:style w:type="character" w:styleId="FollowedHyperlink">
    <w:name w:val="FollowedHyperlink"/>
    <w:basedOn w:val="DefaultParagraphFont"/>
    <w:uiPriority w:val="99"/>
    <w:semiHidden/>
    <w:unhideWhenUsed/>
    <w:rsid w:val="000960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CEB"/>
    <w:rPr>
      <w:b/>
      <w:bCs/>
    </w:rPr>
  </w:style>
  <w:style w:type="paragraph" w:styleId="BalloonText">
    <w:name w:val="Balloon Text"/>
    <w:basedOn w:val="Normal"/>
    <w:link w:val="BalloonTextChar"/>
    <w:uiPriority w:val="99"/>
    <w:semiHidden/>
    <w:unhideWhenUsed/>
    <w:rsid w:val="008A1CEB"/>
    <w:rPr>
      <w:rFonts w:ascii="Tahoma" w:hAnsi="Tahoma" w:cs="Tahoma"/>
      <w:sz w:val="16"/>
      <w:szCs w:val="16"/>
    </w:rPr>
  </w:style>
  <w:style w:type="character" w:customStyle="1" w:styleId="BalloonTextChar">
    <w:name w:val="Balloon Text Char"/>
    <w:basedOn w:val="DefaultParagraphFont"/>
    <w:link w:val="BalloonText"/>
    <w:uiPriority w:val="99"/>
    <w:semiHidden/>
    <w:rsid w:val="008A1CEB"/>
    <w:rPr>
      <w:rFonts w:ascii="Tahoma" w:eastAsia="Times New Roman" w:hAnsi="Tahoma" w:cs="Tahoma"/>
      <w:sz w:val="16"/>
      <w:szCs w:val="16"/>
    </w:rPr>
  </w:style>
  <w:style w:type="character" w:styleId="Hyperlink">
    <w:name w:val="Hyperlink"/>
    <w:basedOn w:val="DefaultParagraphFont"/>
    <w:uiPriority w:val="99"/>
    <w:unhideWhenUsed/>
    <w:rsid w:val="008A1CEB"/>
    <w:rPr>
      <w:color w:val="0000FF"/>
      <w:u w:val="single"/>
    </w:rPr>
  </w:style>
  <w:style w:type="character" w:styleId="Emphasis">
    <w:name w:val="Emphasis"/>
    <w:basedOn w:val="DefaultParagraphFont"/>
    <w:uiPriority w:val="20"/>
    <w:qFormat/>
    <w:rsid w:val="008A1CEB"/>
    <w:rPr>
      <w:i/>
      <w:iCs/>
    </w:rPr>
  </w:style>
  <w:style w:type="character" w:styleId="FollowedHyperlink">
    <w:name w:val="FollowedHyperlink"/>
    <w:basedOn w:val="DefaultParagraphFont"/>
    <w:uiPriority w:val="99"/>
    <w:semiHidden/>
    <w:unhideWhenUsed/>
    <w:rsid w:val="000960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1594">
      <w:bodyDiv w:val="1"/>
      <w:marLeft w:val="0"/>
      <w:marRight w:val="0"/>
      <w:marTop w:val="0"/>
      <w:marBottom w:val="0"/>
      <w:divBdr>
        <w:top w:val="none" w:sz="0" w:space="0" w:color="auto"/>
        <w:left w:val="none" w:sz="0" w:space="0" w:color="auto"/>
        <w:bottom w:val="none" w:sz="0" w:space="0" w:color="auto"/>
        <w:right w:val="none" w:sz="0" w:space="0" w:color="auto"/>
      </w:divBdr>
    </w:div>
    <w:div w:id="19234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chimneys.or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20.rs6.net/tn.jsp?t=h95bj5uab.0.0.mvvbuybab.0&amp;id=preview&amp;r=3&amp;p=http://www.tenchimney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F028-CED4-4F8F-8F33-3154C61F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Foll</dc:creator>
  <cp:lastModifiedBy>Janis Foll</cp:lastModifiedBy>
  <cp:revision>5</cp:revision>
  <cp:lastPrinted>2017-11-16T15:34:00Z</cp:lastPrinted>
  <dcterms:created xsi:type="dcterms:W3CDTF">2017-11-03T17:23:00Z</dcterms:created>
  <dcterms:modified xsi:type="dcterms:W3CDTF">2017-11-16T15:52:00Z</dcterms:modified>
</cp:coreProperties>
</file>